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5D" w:rsidRPr="00A63325" w:rsidRDefault="001D33EE" w:rsidP="00985C3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ПЛАН</w:t>
      </w:r>
    </w:p>
    <w:p w:rsidR="000C095D" w:rsidRPr="00A63325" w:rsidRDefault="001D33EE" w:rsidP="000B5AA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sz w:val="26"/>
          <w:szCs w:val="26"/>
          <w:lang w:val="bg-BG"/>
        </w:rPr>
        <w:t>за провеждане на избори с използване на машинно гласуване</w:t>
      </w:r>
    </w:p>
    <w:p w:rsidR="000C095D" w:rsidRPr="00A63325" w:rsidRDefault="001D33EE" w:rsidP="000B5AA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sz w:val="26"/>
          <w:szCs w:val="26"/>
          <w:lang w:val="bg-BG"/>
        </w:rPr>
        <w:t>в изпълнение на чл. 213б, ал. 3 от Изборния кодекс</w:t>
      </w:r>
    </w:p>
    <w:p w:rsidR="000C095D" w:rsidRPr="00A63325" w:rsidRDefault="000C095D" w:rsidP="000B5AA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D30C02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Действия и мерки за сигурност, предприети от участниците в процеса на осигуряване на машинното гласуване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за изборите за народни представители на </w:t>
      </w:r>
      <w:r w:rsidR="00985C35">
        <w:rPr>
          <w:rFonts w:ascii="Times New Roman" w:hAnsi="Times New Roman" w:cs="Times New Roman"/>
          <w:sz w:val="26"/>
          <w:szCs w:val="26"/>
          <w:lang w:val="bg-BG"/>
        </w:rPr>
        <w:t>19 април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202</w:t>
      </w:r>
      <w:r w:rsidR="00985C35">
        <w:rPr>
          <w:rFonts w:ascii="Times New Roman" w:hAnsi="Times New Roman" w:cs="Times New Roman"/>
          <w:sz w:val="26"/>
          <w:szCs w:val="26"/>
          <w:lang w:val="bg-BG"/>
        </w:rPr>
        <w:t>6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г.</w:t>
      </w:r>
    </w:p>
    <w:p w:rsidR="000C095D" w:rsidRPr="00A63325" w:rsidRDefault="000C095D" w:rsidP="00F80DD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0B5AAE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Управление на криптографски ключове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: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1. При предаване на изходен код (source code), данни за параметризиране на СУЕМГ и други ключови етапи в подготовката на СУЕМГ за конкретните избори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се използват компресирани файлове, заключени с криптографски ключ.</w:t>
      </w:r>
    </w:p>
    <w:p w:rsidR="000C095D" w:rsidRPr="00A63325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Размяната на криптографски ключове на файлове с изходен код или бази данни се извършва на два етапа, като всеки от ключовете се предоставя от страните, които ги генерират, в запечатан плик.</w:t>
      </w:r>
    </w:p>
    <w:p w:rsidR="00D30C02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2. В процеса на доверено изграждане на код от изходен код за приложния софтуер на СУЕМГ за машинно гласуване се генерират криптографски ключове за криптиране на SSD диска на СУЕМГ и за достъп до операционната му система. Тези ключове се съхраняват на преносимия компютър, собственост на ЦИК, на който са генерирани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</w:p>
    <w:p w:rsidR="000C095D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Криптографските ключове са изградени на базата на ключова дума от три части. Всяка от тези части е предложена от член на ЦИК и е записана на хартиен носител, който е запечатан в плик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</w:p>
    <w:p w:rsidR="00D30C02" w:rsidRPr="00A63325" w:rsidRDefault="00D30C02" w:rsidP="000B5AA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F80DDC">
      <w:pPr>
        <w:pStyle w:val="1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Прилагане на контролни суми за верифициране на файлове при предаване на информационни носители и инсталиране на софтуер на СУЕМГ</w:t>
      </w:r>
    </w:p>
    <w:p w:rsidR="000C095D" w:rsidRPr="00A63325" w:rsidRDefault="001D33EE" w:rsidP="00F80DDC">
      <w:pPr>
        <w:pStyle w:val="11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изходния код на приложния софтуер – предоставя се от ЦИК на изпълнителя на дейностите за машинно гласуване, определен с </w:t>
      </w:r>
      <w:hyperlink r:id="rId7" w:history="1">
        <w:r w:rsidRPr="008F0B07">
          <w:rPr>
            <w:rStyle w:val="HyperLinkChar"/>
            <w:rFonts w:ascii="Times New Roman" w:hAnsi="Times New Roman" w:cs="Times New Roman"/>
          </w:rPr>
          <w:t xml:space="preserve">Решение № </w:t>
        </w:r>
        <w:r w:rsidR="007D4958" w:rsidRPr="008F0B07">
          <w:rPr>
            <w:rStyle w:val="HyperLinkChar"/>
            <w:rFonts w:ascii="Times New Roman" w:hAnsi="Times New Roman" w:cs="Times New Roman"/>
          </w:rPr>
          <w:t>4574</w:t>
        </w:r>
        <w:r w:rsidR="00394B6E" w:rsidRPr="008F0B07">
          <w:rPr>
            <w:rStyle w:val="HyperLinkChar"/>
            <w:rFonts w:ascii="Times New Roman" w:hAnsi="Times New Roman" w:cs="Times New Roman"/>
          </w:rPr>
          <w:t>-НС</w:t>
        </w:r>
      </w:hyperlink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от </w:t>
      </w:r>
      <w:r w:rsidR="00CE1C29">
        <w:rPr>
          <w:rFonts w:ascii="Times New Roman" w:hAnsi="Times New Roman" w:cs="Times New Roman"/>
          <w:sz w:val="26"/>
          <w:szCs w:val="26"/>
          <w:lang w:val="bg-BG"/>
        </w:rPr>
        <w:t>12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0</w:t>
      </w:r>
      <w:r w:rsidR="00985C35">
        <w:rPr>
          <w:rFonts w:ascii="Times New Roman" w:hAnsi="Times New Roman" w:cs="Times New Roman"/>
          <w:sz w:val="26"/>
          <w:szCs w:val="26"/>
          <w:lang w:val="bg-BG"/>
        </w:rPr>
        <w:t>3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.202</w:t>
      </w:r>
      <w:r w:rsidR="00985C35">
        <w:rPr>
          <w:rFonts w:ascii="Times New Roman" w:hAnsi="Times New Roman" w:cs="Times New Roman"/>
          <w:sz w:val="26"/>
          <w:szCs w:val="26"/>
          <w:lang w:val="bg-BG"/>
        </w:rPr>
        <w:t>6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г. на ЦИК (наричан по-нататък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зпълнител)</w:t>
      </w:r>
      <w:r w:rsidR="00E91DC6">
        <w:rPr>
          <w:rFonts w:ascii="Times New Roman" w:hAnsi="Times New Roman" w:cs="Times New Roman"/>
          <w:sz w:val="26"/>
          <w:szCs w:val="26"/>
          <w:lang w:val="bg-BG"/>
        </w:rPr>
        <w:t>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и се удостоверява от МЕУ.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2. Хеш код на изходния код на софтуера за </w:t>
      </w:r>
      <w:r w:rsidR="00E676EE">
        <w:rPr>
          <w:rFonts w:ascii="Times New Roman" w:hAnsi="Times New Roman" w:cs="Times New Roman"/>
          <w:sz w:val="26"/>
          <w:szCs w:val="26"/>
          <w:lang w:val="bg-BG"/>
        </w:rPr>
        <w:t xml:space="preserve">компютърна 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обработка на </w:t>
      </w:r>
      <w:r w:rsidR="00E676EE">
        <w:rPr>
          <w:rFonts w:ascii="Times New Roman" w:hAnsi="Times New Roman" w:cs="Times New Roman"/>
          <w:sz w:val="26"/>
          <w:szCs w:val="26"/>
          <w:lang w:val="bg-BG"/>
        </w:rPr>
        <w:t>данните от гласуването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– предост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а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вя се от „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Информационно обслужване” АД на ЦИК.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3. Хеш код, получен като резултат от довереното изграждане на код от изходния код на системния и приложен софтуер, който се инсталира на СУЕМГ. Този код е публичен и се изписва на бюлетините от машинно гласуване и на системната разписка по чл. 218, ал. 7 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4. Хеш код на ядрото, който се генерира с цел повишаване на сигурността.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5. Хе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ш код на софтуера на инсталирано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СУЕМГ – видим е след инсталацията на СУЕМГ, посредством хеш екстрактор. Същия</w:t>
      </w:r>
      <w:r w:rsidR="00881235">
        <w:rPr>
          <w:rFonts w:ascii="Times New Roman" w:hAnsi="Times New Roman" w:cs="Times New Roman"/>
          <w:sz w:val="26"/>
          <w:szCs w:val="26"/>
          <w:lang w:val="bg-BG"/>
        </w:rPr>
        <w:t>т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съвпада с хеш кода по т. 3.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lastRenderedPageBreak/>
        <w:t>6. Х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еш код на базите данни за пин-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кодовете на смарткартите за машинно гласуване, списъка с 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избирателните 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секции, адресите им и кандидатските листи.</w:t>
      </w:r>
    </w:p>
    <w:p w:rsidR="000C095D" w:rsidRPr="00A63325" w:rsidRDefault="000C095D" w:rsidP="000B5AAE">
      <w:pPr>
        <w:pStyle w:val="1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ІІІ. Изграждане и инсталиране на системен и приложен софтуер на СУЕМГ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Извършва се на три етапа, както следва: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1. Осъществяването на процедурата по доверено изграждане на код от изходния код при спазване на раздели I и II се извършва от представители на ЦИК, в защитена среда, осигурена от МЕУ. Като резултат от довереното изграждане се генерират три пълни комплекта от изпълнимия софтуер, всеки от които се състои от четири флаш памети – за инсталиране, отключване, лог екстрактор и хеш екстрактор. Пълните комплекти се съхраняват от ЦИК.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2. Изпълнителят на дейностите за осигуряване на машинното гласуване получава 80 броя копия на инсталационни флаш памети. Инсталирането на генерирания при изпълнение на т. 1 инсталационен софтуер върху СУЕМГ се осъществява в съответствие с договора между ЦИК и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зпълнителя. 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3. Провизи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ране на СУЕМГ – извършва се от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зпълнителя, като се осъществява предварителен и текущ контрол от страна на ЦИК.</w:t>
      </w:r>
    </w:p>
    <w:p w:rsidR="000C095D" w:rsidRPr="00A63325" w:rsidRDefault="000C095D" w:rsidP="00394B6E">
      <w:pPr>
        <w:pStyle w:val="10"/>
        <w:spacing w:after="0" w:line="240" w:lineRule="auto"/>
        <w:rPr>
          <w:rFonts w:ascii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0B5AAE">
      <w:pPr>
        <w:pStyle w:val="1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ІV. Зареждане на данни за съответния избор в СУЕМГ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Централната избирателна комисия възлага на „Информационно обслужване“ АД издаването на цифрови сертификати за</w:t>
      </w:r>
      <w:r w:rsidR="00463911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използване в СУЕМГ върху смарт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карти, предоставени от ЦИК.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Смарт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картите се предават от ЦИК на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зпълнителя за параметризация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на СУЕМГ, която се извършва от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зпълнителя на дейностите за машинно гласуване.</w:t>
      </w:r>
    </w:p>
    <w:p w:rsidR="000C095D" w:rsidRPr="00A63325" w:rsidRDefault="000C095D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V. Съхранение и транспорт на СУЕМГ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Специализираните устройства за електронно машинно гласуване се съхраняват в склад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с адрес гр. София, ул. „Подп. Васил Златарев“ № 44А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, чийто външен периметър се охранява денонощно от ГД „Жандармерия, специални операции и борба с тероризма“. С 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Решение №</w:t>
      </w:r>
      <w:r w:rsidR="0048005B">
        <w:rPr>
          <w:rFonts w:ascii="Times New Roman" w:hAnsi="Times New Roman" w:cs="Times New Roman"/>
          <w:sz w:val="26"/>
          <w:szCs w:val="26"/>
          <w:lang w:val="bg-BG"/>
        </w:rPr>
        <w:t> 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694 от 21.09.2022 г. на Министерския съвет за определяне на условията и реда за съхранението на устройствата за машинно гласуване, изменено с Решение № 545 от 31.07.2024 г. на Министерския съвет, изменено с Р</w:t>
      </w:r>
      <w:r w:rsidR="00B30F65">
        <w:rPr>
          <w:rFonts w:ascii="Times New Roman" w:hAnsi="Times New Roman" w:cs="Times New Roman"/>
          <w:sz w:val="26"/>
          <w:szCs w:val="26"/>
          <w:lang w:val="bg-BG"/>
        </w:rPr>
        <w:t>е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шение № 666 от 30.09.2024 г. на Министерския съвет,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на МВР е възложено да осъществява външната охрана на помещенията, в които се съхраняват СУЕМГ.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В склада има инсталирана алармена система и система за видеонаблюдение и запис.</w:t>
      </w:r>
      <w:r w:rsidR="00E676EE">
        <w:rPr>
          <w:rFonts w:ascii="Times New Roman" w:hAnsi="Times New Roman" w:cs="Times New Roman"/>
          <w:sz w:val="26"/>
          <w:szCs w:val="26"/>
          <w:lang w:val="bg-BG"/>
        </w:rPr>
        <w:t xml:space="preserve"> Всяко движение и преместване на СУЕМГ в склада се извършва само след разпореждане на Централната избирателна комисия.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lastRenderedPageBreak/>
        <w:t>Достъпът на лица в склада е възможен само след изрично писмено разпореждане на Централната избирателна комисия до ГД „Жандармерия, специални операции и борба с тероризма“. В склада се допускат само лица, за които е извършена съответната предварителна проверка от органите на МВР и ДАНС.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Относно транспортирането на СУЕМГ е създадена организация за непрекъснат съпровод и охрана от полицейски служители по време на:</w:t>
      </w:r>
    </w:p>
    <w:p w:rsidR="00D36822" w:rsidRPr="007D4958" w:rsidRDefault="00D36822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- транспортиране на СУЕМГ от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>склада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до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граничните пунктове </w:t>
      </w:r>
      <w:r w:rsidR="00BA3399" w:rsidRPr="00A633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bg-BG"/>
        </w:rPr>
        <w:t>и от граничните пунктове до склада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E676EE">
        <w:rPr>
          <w:rFonts w:ascii="Times New Roman" w:hAnsi="Times New Roman" w:cs="Times New Roman"/>
          <w:sz w:val="26"/>
          <w:szCs w:val="26"/>
          <w:lang w:val="bg-BG"/>
        </w:rPr>
        <w:t>в изпълнение на</w:t>
      </w:r>
      <w:r w:rsidR="007D4958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bookmarkStart w:id="0" w:name="_GoBack"/>
      <w:r w:rsidR="008F0B07" w:rsidRPr="008F0B07">
        <w:rPr>
          <w:rStyle w:val="HyperLinkChar"/>
          <w:rFonts w:ascii="Times New Roman" w:hAnsi="Times New Roman" w:cs="Times New Roman"/>
        </w:rPr>
        <w:fldChar w:fldCharType="begin"/>
      </w:r>
      <w:r w:rsidR="008F0B07" w:rsidRPr="008F0B07">
        <w:rPr>
          <w:rStyle w:val="HyperLinkChar"/>
          <w:rFonts w:ascii="Times New Roman" w:hAnsi="Times New Roman" w:cs="Times New Roman"/>
        </w:rPr>
        <w:instrText xml:space="preserve"> HYPERLINK "https://www.cik.bg/bg/decisions/4612/2026-03-20" </w:instrText>
      </w:r>
      <w:r w:rsidR="008F0B07" w:rsidRPr="008F0B07">
        <w:rPr>
          <w:rStyle w:val="HyperLinkChar"/>
          <w:rFonts w:ascii="Times New Roman" w:hAnsi="Times New Roman" w:cs="Times New Roman"/>
        </w:rPr>
      </w:r>
      <w:r w:rsidR="008F0B07" w:rsidRPr="008F0B07">
        <w:rPr>
          <w:rStyle w:val="HyperLinkChar"/>
          <w:rFonts w:ascii="Times New Roman" w:hAnsi="Times New Roman" w:cs="Times New Roman"/>
        </w:rPr>
        <w:fldChar w:fldCharType="separate"/>
      </w:r>
      <w:r w:rsidR="00E676EE" w:rsidRPr="008F0B07">
        <w:rPr>
          <w:rStyle w:val="HyperLinkChar"/>
          <w:rFonts w:ascii="Times New Roman" w:hAnsi="Times New Roman" w:cs="Times New Roman"/>
        </w:rPr>
        <w:t>Р</w:t>
      </w:r>
      <w:r w:rsidR="007D4958" w:rsidRPr="008F0B07">
        <w:rPr>
          <w:rStyle w:val="HyperLinkChar"/>
          <w:rFonts w:ascii="Times New Roman" w:hAnsi="Times New Roman" w:cs="Times New Roman"/>
        </w:rPr>
        <w:t xml:space="preserve">ешение </w:t>
      </w:r>
      <w:r w:rsidR="00E676EE" w:rsidRPr="008F0B07">
        <w:rPr>
          <w:rStyle w:val="HyperLinkChar"/>
          <w:rFonts w:ascii="Times New Roman" w:hAnsi="Times New Roman" w:cs="Times New Roman"/>
        </w:rPr>
        <w:t>№ 4612-НС</w:t>
      </w:r>
      <w:r w:rsidR="008F0B07" w:rsidRPr="008F0B07">
        <w:rPr>
          <w:rStyle w:val="HyperLinkChar"/>
          <w:rFonts w:ascii="Times New Roman" w:hAnsi="Times New Roman" w:cs="Times New Roman"/>
        </w:rPr>
        <w:fldChar w:fldCharType="end"/>
      </w:r>
      <w:bookmarkEnd w:id="0"/>
      <w:r w:rsidR="00E676EE">
        <w:rPr>
          <w:rFonts w:ascii="Times New Roman" w:hAnsi="Times New Roman" w:cs="Times New Roman"/>
          <w:sz w:val="26"/>
          <w:szCs w:val="26"/>
          <w:lang w:val="bg-BG"/>
        </w:rPr>
        <w:t xml:space="preserve"> от 20 март 2026 г. </w:t>
      </w:r>
      <w:r w:rsidR="007D4958">
        <w:rPr>
          <w:rFonts w:ascii="Times New Roman" w:hAnsi="Times New Roman" w:cs="Times New Roman"/>
          <w:sz w:val="26"/>
          <w:szCs w:val="26"/>
          <w:lang w:val="bg-BG"/>
        </w:rPr>
        <w:t>на ЦИК;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транспортиране на СУЕМГ от склада до определените места в областните центрове;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претоварването в областните центрове и транспортирането на СУЕМГ до всяка избирателна секция;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съхранението на СУЕМГ в СИК от момента на пристигане до тяхното предаване за обратно транспортиране;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транспортиране на СУЕМГ от СИК до определените места в областните центрове;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претоварването на СУЕМГ в областните центрове и транспортирането им до склада.</w:t>
      </w:r>
    </w:p>
    <w:sectPr w:rsidR="000C095D" w:rsidRPr="00A63325">
      <w:headerReference w:type="default" r:id="rId8"/>
      <w:pgSz w:w="11906" w:h="16838"/>
      <w:pgMar w:top="1440" w:right="1797" w:bottom="1440" w:left="1797" w:header="1134" w:footer="85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A5D" w:rsidRDefault="007A1A5D">
      <w:r>
        <w:separator/>
      </w:r>
    </w:p>
  </w:endnote>
  <w:endnote w:type="continuationSeparator" w:id="0">
    <w:p w:rsidR="007A1A5D" w:rsidRDefault="007A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A5D" w:rsidRDefault="007A1A5D">
      <w:r>
        <w:separator/>
      </w:r>
    </w:p>
  </w:footnote>
  <w:footnote w:type="continuationSeparator" w:id="0">
    <w:p w:rsidR="007A1A5D" w:rsidRDefault="007A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5D" w:rsidRDefault="001D33EE">
    <w:pPr>
      <w:pStyle w:val="1"/>
      <w:tabs>
        <w:tab w:val="clear" w:pos="9406"/>
        <w:tab w:val="right" w:pos="8286"/>
      </w:tabs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>PAGE</w:instrText>
    </w:r>
    <w:r>
      <w:rPr>
        <w:rFonts w:ascii="Times New Roman" w:hAnsi="Times New Roman"/>
        <w:sz w:val="26"/>
        <w:szCs w:val="26"/>
      </w:rPr>
      <w:fldChar w:fldCharType="separate"/>
    </w:r>
    <w:r w:rsidR="00463911">
      <w:rPr>
        <w:rFonts w:ascii="Times New Roman" w:hAnsi="Times New Roman"/>
        <w:noProof/>
        <w:sz w:val="26"/>
        <w:szCs w:val="26"/>
      </w:rPr>
      <w:t>3</w:t>
    </w:r>
    <w:r>
      <w:rPr>
        <w:rFonts w:ascii="Times New Roman" w:hAnsi="Times New Roman"/>
        <w:sz w:val="26"/>
        <w:szCs w:val="26"/>
      </w:rPr>
      <w:fldChar w:fldCharType="end"/>
    </w:r>
  </w:p>
  <w:p w:rsidR="00A63325" w:rsidRDefault="00A63325">
    <w:pPr>
      <w:pStyle w:val="1"/>
      <w:tabs>
        <w:tab w:val="clear" w:pos="9406"/>
        <w:tab w:val="right" w:pos="828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DA5"/>
    <w:multiLevelType w:val="multilevel"/>
    <w:tmpl w:val="6BFCFBA4"/>
    <w:lvl w:ilvl="0">
      <w:start w:val="1"/>
      <w:numFmt w:val="decimal"/>
      <w:pStyle w:val="HyperLink"/>
      <w:lvlText w:val="%1."/>
      <w:lvlJc w:val="left"/>
      <w:pPr>
        <w:tabs>
          <w:tab w:val="num" w:pos="1083"/>
        </w:tabs>
        <w:ind w:left="2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883"/>
        </w:tabs>
        <w:ind w:left="10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683"/>
        </w:tabs>
        <w:ind w:left="18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483"/>
        </w:tabs>
        <w:ind w:left="26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4283"/>
        </w:tabs>
        <w:ind w:left="34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5083"/>
        </w:tabs>
        <w:ind w:left="42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883"/>
        </w:tabs>
        <w:ind w:left="50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6683"/>
        </w:tabs>
        <w:ind w:left="58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7483"/>
        </w:tabs>
        <w:ind w:left="6632" w:firstLine="61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9882670"/>
    <w:multiLevelType w:val="multilevel"/>
    <w:tmpl w:val="BB02D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D75C16"/>
    <w:multiLevelType w:val="multilevel"/>
    <w:tmpl w:val="F732F758"/>
    <w:lvl w:ilvl="0">
      <w:start w:val="1"/>
      <w:numFmt w:val="upperRoman"/>
      <w:lvlText w:val="%1."/>
      <w:lvlJc w:val="left"/>
      <w:pPr>
        <w:tabs>
          <w:tab w:val="num" w:pos="1140"/>
        </w:tabs>
        <w:ind w:left="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2140"/>
        </w:tabs>
        <w:ind w:left="1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Text w:val="%3."/>
      <w:lvlJc w:val="left"/>
      <w:pPr>
        <w:tabs>
          <w:tab w:val="num" w:pos="3140"/>
        </w:tabs>
        <w:ind w:left="2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Text w:val="%4."/>
      <w:lvlJc w:val="left"/>
      <w:pPr>
        <w:tabs>
          <w:tab w:val="num" w:pos="4140"/>
        </w:tabs>
        <w:ind w:left="3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lvlText w:val="%5."/>
      <w:lvlJc w:val="left"/>
      <w:pPr>
        <w:tabs>
          <w:tab w:val="num" w:pos="5140"/>
        </w:tabs>
        <w:ind w:left="4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%6."/>
      <w:lvlJc w:val="left"/>
      <w:pPr>
        <w:tabs>
          <w:tab w:val="num" w:pos="6140"/>
        </w:tabs>
        <w:ind w:left="5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pPr>
        <w:tabs>
          <w:tab w:val="num" w:pos="7140"/>
        </w:tabs>
        <w:ind w:left="6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lvlText w:val="%8."/>
      <w:lvlJc w:val="left"/>
      <w:pPr>
        <w:tabs>
          <w:tab w:val="num" w:pos="8140"/>
        </w:tabs>
        <w:ind w:left="7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lvlText w:val="%9."/>
      <w:lvlJc w:val="left"/>
      <w:pPr>
        <w:tabs>
          <w:tab w:val="num" w:pos="9140"/>
        </w:tabs>
        <w:ind w:left="8289" w:firstLine="56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5D"/>
    <w:rsid w:val="000B5AAE"/>
    <w:rsid w:val="000C095D"/>
    <w:rsid w:val="000F5028"/>
    <w:rsid w:val="0017725F"/>
    <w:rsid w:val="001D33EE"/>
    <w:rsid w:val="002937FC"/>
    <w:rsid w:val="00394B6E"/>
    <w:rsid w:val="00463911"/>
    <w:rsid w:val="0048005B"/>
    <w:rsid w:val="005A194F"/>
    <w:rsid w:val="007A1A5D"/>
    <w:rsid w:val="007D4958"/>
    <w:rsid w:val="0083500A"/>
    <w:rsid w:val="00881235"/>
    <w:rsid w:val="008F0B07"/>
    <w:rsid w:val="00985C35"/>
    <w:rsid w:val="00A63325"/>
    <w:rsid w:val="00AB07A0"/>
    <w:rsid w:val="00B30F65"/>
    <w:rsid w:val="00B631EF"/>
    <w:rsid w:val="00BA3399"/>
    <w:rsid w:val="00C70A87"/>
    <w:rsid w:val="00CE1C29"/>
    <w:rsid w:val="00D30C02"/>
    <w:rsid w:val="00D36822"/>
    <w:rsid w:val="00E676EE"/>
    <w:rsid w:val="00E91DC6"/>
    <w:rsid w:val="00F80DDC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540D6-5767-47CD-9DDF-4482F65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 w:val="0"/>
    </w:pPr>
    <w:rPr>
      <w:noProof/>
      <w:sz w:val="24"/>
      <w:szCs w:val="24"/>
      <w:u w:color="FFFFFF"/>
      <w:lang w:val="bg-BG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0">
    <w:name w:val="Hyper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1">
    <w:name w:val="Горен колонтитул1"/>
    <w:qFormat/>
    <w:pPr>
      <w:tabs>
        <w:tab w:val="center" w:pos="4703"/>
        <w:tab w:val="right" w:pos="94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Нормален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11">
    <w:name w:val="Списък на абзаци1"/>
    <w:link w:val="1Char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Lettered">
    <w:name w:val="Lettered"/>
    <w:qFormat/>
  </w:style>
  <w:style w:type="numbering" w:customStyle="1" w:styleId="Numbered">
    <w:name w:val="Numbered"/>
    <w:qFormat/>
  </w:style>
  <w:style w:type="character" w:styleId="UnresolvedMention">
    <w:name w:val="Unresolved Mention"/>
    <w:basedOn w:val="DefaultParagraphFont"/>
    <w:uiPriority w:val="99"/>
    <w:semiHidden/>
    <w:unhideWhenUsed/>
    <w:rsid w:val="008F0B07"/>
    <w:rPr>
      <w:color w:val="605E5C"/>
      <w:shd w:val="clear" w:color="auto" w:fill="E1DFDD"/>
    </w:rPr>
  </w:style>
  <w:style w:type="paragraph" w:customStyle="1" w:styleId="HyperLink">
    <w:name w:val="HyperLink"/>
    <w:basedOn w:val="11"/>
    <w:link w:val="HyperLinkChar"/>
    <w:qFormat/>
    <w:rsid w:val="008F0B07"/>
    <w:pPr>
      <w:numPr>
        <w:numId w:val="2"/>
      </w:numPr>
      <w:spacing w:after="0" w:line="240" w:lineRule="auto"/>
      <w:ind w:left="0" w:firstLine="851"/>
      <w:jc w:val="both"/>
    </w:pPr>
    <w:rPr>
      <w:rFonts w:ascii="Times New Roman" w:hAnsi="Times New Roman" w:cs="Times New Roman"/>
      <w:color w:val="4F81BD" w:themeColor="accent1"/>
      <w:sz w:val="26"/>
      <w:szCs w:val="26"/>
      <w:u w:val="single"/>
      <w:lang w:val="bg-BG"/>
    </w:rPr>
  </w:style>
  <w:style w:type="character" w:customStyle="1" w:styleId="1Char">
    <w:name w:val="Списък на абзаци1 Char"/>
    <w:basedOn w:val="DefaultParagraphFont"/>
    <w:link w:val="11"/>
    <w:rsid w:val="008F0B07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Char">
    <w:name w:val="HyperLink Char"/>
    <w:basedOn w:val="1Char"/>
    <w:link w:val="HyperLink"/>
    <w:rsid w:val="008F0B07"/>
    <w:rPr>
      <w:rFonts w:ascii="Calibri" w:hAnsi="Calibri" w:cs="Arial Unicode MS"/>
      <w:color w:val="4F81BD" w:themeColor="accent1"/>
      <w:sz w:val="26"/>
      <w:szCs w:val="26"/>
      <w:u w:val="single" w:color="00000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4574/2026-03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Мария Дюлгерова</cp:lastModifiedBy>
  <cp:revision>2</cp:revision>
  <cp:lastPrinted>2024-10-20T08:41:00Z</cp:lastPrinted>
  <dcterms:created xsi:type="dcterms:W3CDTF">2026-03-24T15:51:00Z</dcterms:created>
  <dcterms:modified xsi:type="dcterms:W3CDTF">2026-03-24T15:51:00Z</dcterms:modified>
  <dc:language>en-US</dc:language>
</cp:coreProperties>
</file>